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95" w:rsidRPr="00187895" w:rsidRDefault="00187895" w:rsidP="00187895">
      <w:pPr>
        <w:spacing w:after="0" w:line="180" w:lineRule="atLeast"/>
        <w:outlineLvl w:val="1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187895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Ejercicio colaborativo </w:t>
      </w:r>
      <w:proofErr w:type="spellStart"/>
      <w:r w:rsidRPr="00187895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SNPs</w:t>
      </w:r>
      <w:proofErr w:type="spellEnd"/>
      <w:r w:rsidRPr="00187895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 2009</w:t>
      </w:r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Estimados/as socios/as del GEP-ISFG:</w:t>
      </w:r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Tal como fue propuesto en la última reunión del grupo, celebrada en Buenos Aires el pasado 15 de Septiembre de 2009, se pone a disposición de todos los laboratorios con miembros del GEP-ISFG, la participación en un ejercicio de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tipado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SNPs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mediante la técnica de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SNaPshot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A aquellos laboratorios que deseen participar en el ejercicio se les enviarán las muestras a analizar y una alícuota de los mixes de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primers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y sondas necesarios para realizar el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tipado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del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decaplex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SNPs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preparado para el ejercicio inicial.</w:t>
      </w:r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Los laboratorios participantes deberán inscribirse y abonar una cuota de inscripción de </w:t>
      </w:r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50 euros</w:t>
      </w: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antes del 31 de Octubre de 2009</w:t>
      </w: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 El pago se realizará online a través de la página web del GEP (</w:t>
      </w:r>
      <w:hyperlink r:id="rId6" w:history="1">
        <w:r w:rsidRPr="00187895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http://www.gep-isfg.org/es/control-calidad/formas-pago.html)</w:t>
        </w:r>
      </w:hyperlink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 indicando claramente el laboratorio participante. Es obligatorio para la realización de este ejercicio que </w:t>
      </w:r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al menos una persona del laboratorio participante sea socia del GEP-ISFG y esté al corriente del pago de la cuota de socio</w:t>
      </w: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 Para la publicación final se establece, además, el límite de dos autores (que deberán ser miembros del GEP-ISFG y estar al corriente del pago de la cuota de socio) por cada grupo participante.</w:t>
      </w:r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Atentamente</w:t>
      </w:r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Comisión de Trabajo de </w:t>
      </w:r>
      <w:proofErr w:type="spellStart"/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SNPs</w:t>
      </w:r>
      <w:proofErr w:type="spellEnd"/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Manuel </w:t>
      </w:r>
      <w:proofErr w:type="spellStart"/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Fondevila</w:t>
      </w:r>
      <w:proofErr w:type="spellEnd"/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, Chris Phillips, Mª Victoria </w:t>
      </w:r>
      <w:proofErr w:type="spellStart"/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Lareu</w:t>
      </w:r>
      <w:proofErr w:type="spellEnd"/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y Lourdes Prieto</w:t>
      </w:r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Fecha límite de inscripción y pago: 31 de Octubre de 2009</w:t>
      </w:r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Fecha límite de envío de resultados: 31 de Enero de 2010</w:t>
      </w:r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Direcciones electrónicas de contacto: </w:t>
      </w:r>
      <w:hyperlink r:id="rId7" w:history="1">
        <w:r w:rsidRPr="00187895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mafondevila@hotmail.com</w:t>
        </w:r>
      </w:hyperlink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 </w:t>
      </w:r>
      <w:hyperlink r:id="rId8" w:history="1">
        <w:r w:rsidRPr="00187895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c.phillips@mac.com</w:t>
        </w:r>
      </w:hyperlink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 </w:t>
      </w:r>
      <w:hyperlink r:id="rId9" w:history="1">
        <w:r w:rsidRPr="00187895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mvictoria.lareu@usc.es</w:t>
        </w:r>
      </w:hyperlink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 </w:t>
      </w:r>
      <w:hyperlink r:id="rId10" w:history="1">
        <w:r w:rsidRPr="00187895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lourditasmt@gmail.com</w:t>
        </w:r>
      </w:hyperlink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EJERCICIO COLABORATIVO DE </w:t>
      </w:r>
      <w:proofErr w:type="spellStart"/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SNPs</w:t>
      </w:r>
      <w:proofErr w:type="spellEnd"/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 xml:space="preserve"> AUTOSÓMICOS GEP-ISFG</w:t>
      </w:r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El ejercicio que se propone constaría de dos fases. Una primera fase en la que se suministraría a los laboratorios participantes el material para realizar el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tipado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tres muestras con un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decaplex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SNPs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desarrollado a partir del 52-plex (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Sanchez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et al. </w:t>
      </w:r>
      <w:r w:rsidRPr="00187895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t xml:space="preserve">A multiplex assay with 52 single nucleotide polymorphisms for human identification.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Electrophoresis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27(9): 1713-1724 (2006)).</w:t>
      </w:r>
    </w:p>
    <w:p w:rsidR="00187895" w:rsidRPr="00187895" w:rsidRDefault="00187895" w:rsidP="00187895">
      <w:pPr>
        <w:spacing w:after="30" w:line="255" w:lineRule="atLeast"/>
        <w:rPr>
          <w:rFonts w:ascii="Verdana" w:eastAsia="Times New Roman" w:hAnsi="Verdana" w:cs="Times New Roman"/>
          <w:color w:val="4573A5"/>
          <w:sz w:val="23"/>
          <w:szCs w:val="23"/>
          <w:lang w:eastAsia="es-ES"/>
        </w:rPr>
      </w:pPr>
      <w:r w:rsidRPr="00187895">
        <w:rPr>
          <w:rFonts w:ascii="Verdana" w:eastAsia="Times New Roman" w:hAnsi="Verdana" w:cs="Times New Roman"/>
          <w:color w:val="4573A5"/>
          <w:sz w:val="23"/>
          <w:szCs w:val="23"/>
          <w:lang w:eastAsia="es-ES"/>
        </w:rPr>
        <w:t> </w:t>
      </w:r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El manejo adecuado del material y el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tipado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correcto de las muestras del primer ejercicio, permitiría a los grupos que lo completaran, el acceso a la siguiente fase, en la que se suministrarían los reactivos necesarios para realizar el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tipado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SNPs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con el 52plex-human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identification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SNP multiplex, en una batería más amplia de muestras.</w:t>
      </w:r>
    </w:p>
    <w:tbl>
      <w:tblPr>
        <w:tblW w:w="4500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201"/>
        <w:gridCol w:w="1029"/>
        <w:gridCol w:w="775"/>
        <w:gridCol w:w="525"/>
        <w:gridCol w:w="1970"/>
      </w:tblGrid>
      <w:tr w:rsidR="00187895" w:rsidRPr="00187895" w:rsidTr="001878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SNPfor</w:t>
            </w:r>
            <w:proofErr w:type="spellEnd"/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ID </w:t>
            </w:r>
            <w:proofErr w:type="spellStart"/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code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rs-number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Alleles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Minor</w:t>
            </w:r>
            <w:proofErr w:type="spellEnd"/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allele</w:t>
            </w:r>
            <w:proofErr w:type="spellEnd"/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frequency</w:t>
            </w:r>
            <w:proofErr w:type="spellEnd"/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(</w:t>
            </w:r>
            <w:proofErr w:type="spellStart"/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Europe</w:t>
            </w:r>
            <w:proofErr w:type="spellEnd"/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)</w:t>
            </w:r>
          </w:p>
        </w:tc>
      </w:tr>
      <w:tr w:rsidR="00187895" w:rsidRPr="00187895" w:rsidTr="001878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rs1490413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0,4296</w:t>
            </w:r>
          </w:p>
        </w:tc>
      </w:tr>
      <w:tr w:rsidR="00187895" w:rsidRPr="00187895" w:rsidTr="001878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rs1029047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0,408</w:t>
            </w:r>
          </w:p>
        </w:tc>
      </w:tr>
      <w:tr w:rsidR="00187895" w:rsidRPr="00187895" w:rsidTr="001878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rs763869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0,4949</w:t>
            </w:r>
          </w:p>
        </w:tc>
      </w:tr>
      <w:tr w:rsidR="00187895" w:rsidRPr="00187895" w:rsidTr="001878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rs735155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0,4571</w:t>
            </w:r>
          </w:p>
        </w:tc>
      </w:tr>
      <w:tr w:rsidR="00187895" w:rsidRPr="00187895" w:rsidTr="001878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rs2107612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0,3425</w:t>
            </w:r>
          </w:p>
        </w:tc>
      </w:tr>
      <w:tr w:rsidR="00187895" w:rsidRPr="00187895" w:rsidTr="001878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rs1454361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0,4734</w:t>
            </w:r>
          </w:p>
        </w:tc>
      </w:tr>
      <w:tr w:rsidR="00187895" w:rsidRPr="00187895" w:rsidTr="001878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rs2111980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0,4483</w:t>
            </w:r>
          </w:p>
        </w:tc>
      </w:tr>
      <w:tr w:rsidR="00187895" w:rsidRPr="00187895" w:rsidTr="001878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rs1005533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0,4639</w:t>
            </w:r>
          </w:p>
        </w:tc>
      </w:tr>
      <w:tr w:rsidR="00187895" w:rsidRPr="00187895" w:rsidTr="001878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rs8037429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0,4968</w:t>
            </w:r>
          </w:p>
        </w:tc>
      </w:tr>
      <w:tr w:rsidR="00187895" w:rsidRPr="00187895" w:rsidTr="001878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rs891700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895" w:rsidRPr="00187895" w:rsidRDefault="00187895" w:rsidP="0018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187895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 0,4959</w:t>
            </w:r>
          </w:p>
        </w:tc>
      </w:tr>
    </w:tbl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El método que se utilizaría para el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tipado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las muestras en el ejercicio, sería el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SNaPshot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Applied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Biosystems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una tecnología que aplica la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minisecuenciación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como reacción de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tipado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.</w:t>
      </w:r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El trabajo de laboratorio constaría de las siguientes fases:</w:t>
      </w:r>
    </w:p>
    <w:p w:rsidR="00187895" w:rsidRPr="00187895" w:rsidRDefault="00187895" w:rsidP="00187895">
      <w:pPr>
        <w:numPr>
          <w:ilvl w:val="0"/>
          <w:numId w:val="1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PCR multiplex: Se amplifican los 10 marcadores en una única reacción de PCR usando el mix de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primers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suministrado. Esta mezcla de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primers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se encuentra ya optimizada para rendir productos de reacción adecuadamente equilibrados</w:t>
      </w:r>
    </w:p>
    <w:p w:rsidR="00187895" w:rsidRPr="00187895" w:rsidRDefault="00187895" w:rsidP="00187895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Limpieza del producto de PCR: Se recomienda el uso de una digestión enzimática con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Exonucleasa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I y SAP de 45 minutos para este paso</w:t>
      </w:r>
    </w:p>
    <w:p w:rsidR="00187895" w:rsidRPr="00187895" w:rsidRDefault="00187895" w:rsidP="00187895">
      <w:pPr>
        <w:numPr>
          <w:ilvl w:val="0"/>
          <w:numId w:val="3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Minisecuenciación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: Una reacción multiplex de los 10 marcadores, realizada con el mix de sondas optimizado que se suministra</w:t>
      </w:r>
    </w:p>
    <w:p w:rsidR="00187895" w:rsidRPr="00187895" w:rsidRDefault="00187895" w:rsidP="00187895">
      <w:pPr>
        <w:numPr>
          <w:ilvl w:val="0"/>
          <w:numId w:val="4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Limpieza con SAP de los productos de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minisecuenciación</w:t>
      </w:r>
      <w:proofErr w:type="spellEnd"/>
    </w:p>
    <w:p w:rsidR="00187895" w:rsidRPr="00187895" w:rsidRDefault="00187895" w:rsidP="00187895">
      <w:pPr>
        <w:numPr>
          <w:ilvl w:val="0"/>
          <w:numId w:val="5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Separación electroforética de los productos de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minisecuenciación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: A realizar en un secuenciador capilar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ABIPrism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los modelos 310, 3100 y variantes de la 3130 y 3730. Se requiere el uso de POP6 (o en su defecto de POP4) como polímero de separación</w:t>
      </w:r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lastRenderedPageBreak/>
        <w:t xml:space="preserve">El perfil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eletroforético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resultante de un procesamiento adecuado de la muestra, debería rendir un diagrama como el que se muestra: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6113780" cy="4297045"/>
            <wp:effectExtent l="0" t="0" r="1270" b="8255"/>
            <wp:docPr id="1" name="Imagen 1" descr="http://www.gep-isfg.org/archivos/201301/sn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p-isfg.org/archivos/201301/snp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 los laboratorios participantes en la primera fase del ejercicio se les haría llegar los siguientes reactivos:</w:t>
      </w:r>
    </w:p>
    <w:p w:rsidR="00187895" w:rsidRPr="00187895" w:rsidRDefault="00187895" w:rsidP="00187895">
      <w:pPr>
        <w:numPr>
          <w:ilvl w:val="0"/>
          <w:numId w:val="6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Mix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primers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de PCR para el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decaplex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. Una mezcla ya preparada y optimizada de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primers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forward y reverse de PCR para los 10 marcadores incluidos en la prueba</w:t>
      </w:r>
    </w:p>
    <w:p w:rsidR="00187895" w:rsidRPr="00187895" w:rsidRDefault="00187895" w:rsidP="00187895">
      <w:pPr>
        <w:numPr>
          <w:ilvl w:val="0"/>
          <w:numId w:val="6"/>
        </w:numPr>
        <w:spacing w:after="30" w:line="300" w:lineRule="atLeast"/>
        <w:ind w:left="600"/>
        <w:rPr>
          <w:rFonts w:ascii="Verdana" w:eastAsia="Times New Roman" w:hAnsi="Verdana" w:cs="Times New Roman"/>
          <w:color w:val="4573A5"/>
          <w:sz w:val="23"/>
          <w:szCs w:val="23"/>
          <w:lang w:eastAsia="es-ES"/>
        </w:rPr>
      </w:pPr>
      <w:proofErr w:type="spellStart"/>
      <w:r w:rsidRPr="00187895">
        <w:rPr>
          <w:rFonts w:ascii="Verdana" w:eastAsia="Times New Roman" w:hAnsi="Verdana" w:cs="Times New Roman"/>
          <w:color w:val="4573A5"/>
          <w:sz w:val="23"/>
          <w:szCs w:val="23"/>
          <w:lang w:eastAsia="es-ES"/>
        </w:rPr>
        <w:t>Mix</w:t>
      </w:r>
      <w:proofErr w:type="spellEnd"/>
      <w:r w:rsidRPr="00187895">
        <w:rPr>
          <w:rFonts w:ascii="Verdana" w:eastAsia="Times New Roman" w:hAnsi="Verdana" w:cs="Times New Roman"/>
          <w:color w:val="4573A5"/>
          <w:sz w:val="23"/>
          <w:szCs w:val="23"/>
          <w:lang w:eastAsia="es-ES"/>
        </w:rPr>
        <w:t xml:space="preserve"> de sondas de </w:t>
      </w:r>
      <w:proofErr w:type="spellStart"/>
      <w:r w:rsidRPr="00187895">
        <w:rPr>
          <w:rFonts w:ascii="Verdana" w:eastAsia="Times New Roman" w:hAnsi="Verdana" w:cs="Times New Roman"/>
          <w:color w:val="4573A5"/>
          <w:sz w:val="23"/>
          <w:szCs w:val="23"/>
          <w:lang w:eastAsia="es-ES"/>
        </w:rPr>
        <w:t>minisecuenciación</w:t>
      </w:r>
      <w:proofErr w:type="spellEnd"/>
      <w:r w:rsidRPr="00187895">
        <w:rPr>
          <w:rFonts w:ascii="Verdana" w:eastAsia="Times New Roman" w:hAnsi="Verdana" w:cs="Times New Roman"/>
          <w:color w:val="4573A5"/>
          <w:sz w:val="23"/>
          <w:szCs w:val="23"/>
          <w:lang w:eastAsia="es-ES"/>
        </w:rPr>
        <w:t xml:space="preserve">. Un conjunto de sondas, ya preparado y optimizado, para el </w:t>
      </w:r>
      <w:proofErr w:type="spellStart"/>
      <w:r w:rsidRPr="00187895">
        <w:rPr>
          <w:rFonts w:ascii="Verdana" w:eastAsia="Times New Roman" w:hAnsi="Verdana" w:cs="Times New Roman"/>
          <w:color w:val="4573A5"/>
          <w:sz w:val="23"/>
          <w:szCs w:val="23"/>
          <w:lang w:eastAsia="es-ES"/>
        </w:rPr>
        <w:t>tipado</w:t>
      </w:r>
      <w:proofErr w:type="spellEnd"/>
      <w:r w:rsidRPr="00187895">
        <w:rPr>
          <w:rFonts w:ascii="Verdana" w:eastAsia="Times New Roman" w:hAnsi="Verdana" w:cs="Times New Roman"/>
          <w:color w:val="4573A5"/>
          <w:sz w:val="23"/>
          <w:szCs w:val="23"/>
          <w:lang w:eastAsia="es-ES"/>
        </w:rPr>
        <w:t xml:space="preserve"> mediante </w:t>
      </w:r>
      <w:proofErr w:type="spellStart"/>
      <w:r w:rsidRPr="00187895">
        <w:rPr>
          <w:rFonts w:ascii="Verdana" w:eastAsia="Times New Roman" w:hAnsi="Verdana" w:cs="Times New Roman"/>
          <w:color w:val="4573A5"/>
          <w:sz w:val="23"/>
          <w:szCs w:val="23"/>
          <w:lang w:eastAsia="es-ES"/>
        </w:rPr>
        <w:t>SNaPshot</w:t>
      </w:r>
      <w:proofErr w:type="spellEnd"/>
      <w:r w:rsidRPr="00187895">
        <w:rPr>
          <w:rFonts w:ascii="Verdana" w:eastAsia="Times New Roman" w:hAnsi="Verdana" w:cs="Times New Roman"/>
          <w:color w:val="4573A5"/>
          <w:sz w:val="23"/>
          <w:szCs w:val="23"/>
          <w:lang w:eastAsia="es-ES"/>
        </w:rPr>
        <w:t xml:space="preserve"> de las muestras</w:t>
      </w:r>
    </w:p>
    <w:p w:rsidR="00187895" w:rsidRPr="00187895" w:rsidRDefault="00187895" w:rsidP="00187895">
      <w:pPr>
        <w:numPr>
          <w:ilvl w:val="0"/>
          <w:numId w:val="6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Protocolo de las reacciones a realizar, información adicional, e instrucciones para la lectura de los perfiles electroforéticos obtenidos</w:t>
      </w:r>
    </w:p>
    <w:p w:rsidR="00187895" w:rsidRPr="00187895" w:rsidRDefault="00187895" w:rsidP="00187895">
      <w:pPr>
        <w:numPr>
          <w:ilvl w:val="0"/>
          <w:numId w:val="6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Muestras de ADN consenso para el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tipado</w:t>
      </w:r>
      <w:proofErr w:type="spellEnd"/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Cualquier otro material o reactivo necesario para la prueba, habrá de ser obtenido por el propio laboratorio participante.</w:t>
      </w:r>
    </w:p>
    <w:p w:rsidR="00187895" w:rsidRPr="00187895" w:rsidRDefault="00187895" w:rsidP="00187895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1878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es-ES"/>
        </w:rPr>
        <w:t>Referencia:</w:t>
      </w:r>
      <w:r w:rsidRPr="00187895">
        <w:rPr>
          <w:rFonts w:ascii="Verdana" w:eastAsia="Times New Roman" w:hAnsi="Verdana" w:cs="Times New Roman"/>
          <w:color w:val="000000"/>
          <w:sz w:val="18"/>
          <w:szCs w:val="18"/>
          <w:lang w:val="en-US" w:eastAsia="es-ES"/>
        </w:rPr>
        <w:t xml:space="preserve"> Sanchez JJ, Phillips C, Børsting C, Balogh K, Bogus M, Fondevila M, Harrison CD, Musgrave-Brown E, Salas A, Syndercombe-Court D, Schneider PM, Carracedo A, Morling N. A multiplex assay with 52 single nucleotide polymorphisms for human identification. </w:t>
      </w:r>
      <w:proofErr w:type="spellStart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Electrophoresis</w:t>
      </w:r>
      <w:proofErr w:type="spellEnd"/>
      <w:r w:rsidRPr="00187895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27(9): 1713-1724 (2006).</w:t>
      </w:r>
    </w:p>
    <w:p w:rsidR="00F628D7" w:rsidRDefault="00F628D7">
      <w:bookmarkStart w:id="0" w:name="_GoBack"/>
      <w:bookmarkEnd w:id="0"/>
    </w:p>
    <w:sectPr w:rsidR="00F628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849"/>
    <w:multiLevelType w:val="multilevel"/>
    <w:tmpl w:val="AD06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5200A"/>
    <w:multiLevelType w:val="multilevel"/>
    <w:tmpl w:val="B694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94C29"/>
    <w:multiLevelType w:val="multilevel"/>
    <w:tmpl w:val="18BE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60952"/>
    <w:multiLevelType w:val="multilevel"/>
    <w:tmpl w:val="991C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80228"/>
    <w:multiLevelType w:val="multilevel"/>
    <w:tmpl w:val="BBAC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B0A2C"/>
    <w:multiLevelType w:val="multilevel"/>
    <w:tmpl w:val="BF2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95"/>
    <w:rsid w:val="00187895"/>
    <w:rsid w:val="00F6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87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8789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8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87895"/>
  </w:style>
  <w:style w:type="character" w:styleId="Textoennegrita">
    <w:name w:val="Strong"/>
    <w:basedOn w:val="Fuentedeprrafopredeter"/>
    <w:uiPriority w:val="22"/>
    <w:qFormat/>
    <w:rsid w:val="0018789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878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87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8789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8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87895"/>
  </w:style>
  <w:style w:type="character" w:styleId="Textoennegrita">
    <w:name w:val="Strong"/>
    <w:basedOn w:val="Fuentedeprrafopredeter"/>
    <w:uiPriority w:val="22"/>
    <w:qFormat/>
    <w:rsid w:val="0018789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8789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52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3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hillips@mac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fondevila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p-isfg.org/es/control-calidad/formas-pago.html)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lourditasm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ictoria.lareu@us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1</cp:revision>
  <dcterms:created xsi:type="dcterms:W3CDTF">2013-09-03T18:08:00Z</dcterms:created>
  <dcterms:modified xsi:type="dcterms:W3CDTF">2013-09-03T18:09:00Z</dcterms:modified>
</cp:coreProperties>
</file>