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42" w:rsidRPr="00702042" w:rsidRDefault="00702042" w:rsidP="00702042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Estudio de colaboración de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STRs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de cromosoma X 2006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 las XI Jornadas del GEP-ISFG, en Madrid, ha sido presentada una propuesta de realización de un trabajo de colaboración entre laboratorios del grupo con el objetivo de evaluar un </w:t>
      </w:r>
      <w:proofErr w:type="spellStart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multiplex</w:t>
      </w:r>
      <w:proofErr w:type="spellEnd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para estudio de X-</w:t>
      </w:r>
      <w:proofErr w:type="spellStart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STRs</w:t>
      </w:r>
      <w:proofErr w:type="spellEnd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Este trabajo será coordinado por el grupo de cromosomas sexuales del GEP-ISFG en colaboración con la Unidad de Medicina Legal del Laboratorio de Genética Forense de la Universidad de Cantabria y con el Instituto de Medicina Legal de Santiago de Compostela.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Los laboratorios interesados en participar deben inscribirse enviando un-mail a Leonor </w:t>
      </w:r>
      <w:proofErr w:type="spellStart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Gusmao</w:t>
      </w:r>
      <w:proofErr w:type="spellEnd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</w:t>
      </w:r>
      <w:hyperlink r:id="rId5" w:history="1">
        <w:r w:rsidRPr="00702042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lgusmao@ipatimup.pt</w:t>
        </w:r>
      </w:hyperlink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). Para participar en este trabajo, los laboratorios tendrán que pagar una inscripción de 50 euros para soportar gastos para la compra y envío de </w:t>
      </w:r>
      <w:proofErr w:type="spellStart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y muestras. Para información acerca de cómo realizar el pago por favor consulta la página (</w:t>
      </w:r>
      <w:hyperlink r:id="rId6" w:history="1">
        <w:r w:rsidRPr="00702042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http://www.gep-isfg.org/es/control-calidad/formas-pago.html</w:t>
        </w:r>
      </w:hyperlink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) y, en caso de duda, contacta con el tesorero, Iñaki </w:t>
      </w:r>
      <w:proofErr w:type="spellStart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Yurrebaso</w:t>
      </w:r>
      <w:proofErr w:type="spellEnd"/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</w:t>
      </w:r>
      <w:hyperlink r:id="rId7" w:history="1">
        <w:r w:rsidRPr="00702042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karan@euskalnet.net</w:t>
        </w:r>
      </w:hyperlink>
      <w:r w:rsidRPr="0070204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).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Fecha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limite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para inscripción en el ejercicio: 15 de Noviembre de 2006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Se enviarán 2 muestras (manchas de sangre en papel FTA) y una alícuota de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primers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para la amplificación de los 10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STRs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incluidos en el multiplex a todos los laboratorios inscritos.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Los resultados obtenidos para las 2 muestras enviadas, mediante la utilización del multiplex (cuyos protocolos se adjuntan al final de este documento), deben ser enviados por correo a Leonor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Gusmão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(</w:t>
      </w:r>
      <w:hyperlink r:id="rId8" w:history="1">
        <w:r w:rsidRPr="00702042">
          <w:rPr>
            <w:rFonts w:ascii="Verdana" w:eastAsia="Times New Roman" w:hAnsi="Verdana" w:cs="Times New Roman"/>
            <w:b/>
            <w:bCs/>
            <w:color w:val="4573A5"/>
            <w:sz w:val="18"/>
            <w:szCs w:val="18"/>
            <w:u w:val="single"/>
            <w:lang w:eastAsia="es-ES"/>
          </w:rPr>
          <w:t>lgusmao@ipatimup.pt</w:t>
        </w:r>
      </w:hyperlink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).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Fecha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limite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para envío de resultados: 31 de Enero de 2006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Protocolo de amplificación X-STR DECAPLEX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X-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STRs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: DXS8378, DXS9898, DXS7133, GATA31E08, GATA172D05, DXS7423, DXS6809, DXS7132, DXS9902, DXS6789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5953125" cy="1943100"/>
            <wp:effectExtent l="0" t="0" r="9525" b="0"/>
            <wp:docPr id="1" name="Imagen 1" descr="http://www.gep-isfg.org/archivos/201301/cr%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p-isfg.org/archivos/201301/cr%2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Tabla 1.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Primers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: secuencia y marcaje</w:t>
      </w:r>
    </w:p>
    <w:tbl>
      <w:tblPr>
        <w:tblW w:w="7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4"/>
        <w:gridCol w:w="6182"/>
        <w:gridCol w:w="374"/>
      </w:tblGrid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Locus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Secuencia de los primer (5'-3')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Ref.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DXS8378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6-FAM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TTAGGCAACCCGGTGGTCC ACAAGAACGAAACTCCAACTC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[1]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6-FAM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CGAGCACACCTACAAAAGCTG TAGGCTCACCTCACTGAGCA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DXS7133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6-FAM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CACTTCCAAAAGGGGAAAAA ACTTGTACTTGGTGGGAGGAA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GATA31E08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6-FAM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GCAAGGGGAGAAGGCTAGAA TCAGCTGACAGAGCACAGAGA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GATA172D05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VIC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TAGTGGTGATGGTTGCACAG ATAATTGAAAGCCCGGATTC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[1]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DXS7423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VIC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GTCTTCCTGTCATCTCCCAAC TAGCTTAGCGCCTGGCACATA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[1]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DXS6809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VIC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TCCATCTTTCTCTGAACCTTCC TGCTTTAGGCTGATGTGAGG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NED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TCCCCTCTCATCTATCTGACTG CACTCCTGGTGCCAAACTCT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NED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CTGGGTGAAGAGAAGCAGGA GGCAATACACATTCATATCAGGA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NED</w:t>
            </w: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CTTCATTATGTGCTGGGGTAAA ACCTCGTGATCATGTAAGTTGG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New</w:t>
            </w:r>
          </w:p>
        </w:tc>
      </w:tr>
    </w:tbl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sz w:val="24"/>
          <w:szCs w:val="24"/>
          <w:lang w:val="en-US"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[1] Edelmann et al. Forensic Sci Int 129: 99-103 (2002)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Reactivos PCR: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- 10X Primer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Mix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(incluye todos los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primers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a una concentración de 2µM. En la Tabla 1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esta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indicada la secuencia y marcaje de los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primers</w:t>
      </w:r>
      <w:proofErr w:type="spellEnd"/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)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- QIAGEN Multiplex PCR kit (</w:t>
      </w:r>
      <w:hyperlink r:id="rId10" w:history="1">
        <w:r w:rsidRPr="00702042">
          <w:rPr>
            <w:rFonts w:ascii="Verdana" w:eastAsia="Times New Roman" w:hAnsi="Verdana" w:cs="Times New Roman"/>
            <w:b/>
            <w:bCs/>
            <w:color w:val="4573A5"/>
            <w:sz w:val="18"/>
            <w:szCs w:val="18"/>
            <w:u w:val="single"/>
            <w:lang w:val="en-US" w:eastAsia="es-ES"/>
          </w:rPr>
          <w:t>http://www.qiagen.com</w:t>
        </w:r>
      </w:hyperlink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)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PCR (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Qiagen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</w:t>
      </w:r>
      <w:proofErr w:type="spellStart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amplification</w:t>
      </w:r>
      <w:proofErr w:type="spellEnd"/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kit)</w:t>
      </w:r>
    </w:p>
    <w:tbl>
      <w:tblPr>
        <w:tblW w:w="7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8"/>
        <w:gridCol w:w="2149"/>
        <w:gridCol w:w="1438"/>
      </w:tblGrid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Volumen por muestra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2x Qiagen Multiplex PCR Master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 µl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10x Primer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 µl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H2O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3,5 µl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 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9,5 µl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+ 0.5 µl ADN (1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ng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/µl)</w:t>
            </w:r>
          </w:p>
        </w:tc>
      </w:tr>
      <w:tr w:rsidR="00702042" w:rsidRPr="00702042" w:rsidTr="0070204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10 µl volumen final</w:t>
            </w:r>
          </w:p>
        </w:tc>
      </w:tr>
    </w:tbl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Condiciones cíclicas de la PCR</w:t>
      </w:r>
    </w:p>
    <w:tbl>
      <w:tblPr>
        <w:tblW w:w="6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6"/>
        <w:gridCol w:w="675"/>
        <w:gridCol w:w="839"/>
      </w:tblGrid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Desnaturalización inicial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95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15 min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94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30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10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60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90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72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60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94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30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20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58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90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72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60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sec</w:t>
            </w:r>
            <w:proofErr w:type="spellEnd"/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Extensión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60 </w:t>
            </w: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ºC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60 min</w:t>
            </w:r>
          </w:p>
        </w:tc>
      </w:tr>
    </w:tbl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Post PCR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Size standard LIZ500; Filtro G5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</w:pPr>
      <w:r w:rsidRPr="007020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Size standard ROX500; Filtro D</w:t>
      </w:r>
    </w:p>
    <w:p w:rsidR="00702042" w:rsidRPr="00702042" w:rsidRDefault="00702042" w:rsidP="00702042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702042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lastRenderedPageBreak/>
        <w:t>Muestras de referencia: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3"/>
        <w:gridCol w:w="955"/>
        <w:gridCol w:w="710"/>
        <w:gridCol w:w="1201"/>
        <w:gridCol w:w="4711"/>
      </w:tblGrid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es-ES"/>
              </w:rPr>
              <w:t>Locus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9947A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NA3657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Referencia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DXS8378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Gomes et al. IJLM (enviado)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DXS7133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GATA31E08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Shin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 et al. FSI 147 (2005) 35-41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GATA172D05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DXS7423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DXS6809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31-34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 xml:space="preserve"> et al. FSI 138 (2003) 37-43</w:t>
            </w:r>
          </w:p>
        </w:tc>
      </w:tr>
      <w:tr w:rsidR="00702042" w:rsidRPr="00702042" w:rsidTr="007020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DXS6789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42" w:rsidRPr="00702042" w:rsidRDefault="00702042" w:rsidP="007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Szibor</w:t>
            </w:r>
            <w:proofErr w:type="spellEnd"/>
            <w:r w:rsidRPr="0070204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et al. FSI 138 (2003) 37-43</w:t>
            </w:r>
          </w:p>
        </w:tc>
      </w:tr>
    </w:tbl>
    <w:p w:rsidR="00F95894" w:rsidRDefault="00F95894">
      <w:bookmarkStart w:id="0" w:name="_GoBack"/>
      <w:bookmarkEnd w:id="0"/>
    </w:p>
    <w:sectPr w:rsidR="00F95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2"/>
    <w:rsid w:val="00702042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02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20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020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02042"/>
    <w:rPr>
      <w:b/>
      <w:bCs/>
    </w:rPr>
  </w:style>
  <w:style w:type="paragraph" w:customStyle="1" w:styleId="titulo">
    <w:name w:val="titulo"/>
    <w:basedOn w:val="Normal"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2042"/>
  </w:style>
  <w:style w:type="paragraph" w:styleId="Textodeglobo">
    <w:name w:val="Balloon Text"/>
    <w:basedOn w:val="Normal"/>
    <w:link w:val="TextodegloboCar"/>
    <w:uiPriority w:val="99"/>
    <w:semiHidden/>
    <w:unhideWhenUsed/>
    <w:rsid w:val="0070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02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20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020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02042"/>
    <w:rPr>
      <w:b/>
      <w:bCs/>
    </w:rPr>
  </w:style>
  <w:style w:type="paragraph" w:customStyle="1" w:styleId="titulo">
    <w:name w:val="titulo"/>
    <w:basedOn w:val="Normal"/>
    <w:rsid w:val="0070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2042"/>
  </w:style>
  <w:style w:type="paragraph" w:styleId="Textodeglobo">
    <w:name w:val="Balloon Text"/>
    <w:basedOn w:val="Normal"/>
    <w:link w:val="TextodegloboCar"/>
    <w:uiPriority w:val="99"/>
    <w:semiHidden/>
    <w:unhideWhenUsed/>
    <w:rsid w:val="0070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smao@ipatimup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n@euskalnet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p-isfg.org/es/control-calidad/formas-pag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gusmao@ipatimup.pt" TargetMode="External"/><Relationship Id="rId10" Type="http://schemas.openxmlformats.org/officeDocument/2006/relationships/hyperlink" Target="http://www.qiage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2013-09-01T10:58:00Z</dcterms:created>
  <dcterms:modified xsi:type="dcterms:W3CDTF">2013-09-01T10:58:00Z</dcterms:modified>
</cp:coreProperties>
</file>